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Liberation Serif" w:hAnsi="Liberation Serif"/>
        </w:rPr>
      </w:pPr>
      <w:r>
        <w:rPr/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 Black" w:hAnsi="Arial Black" w:eastAsia="Times New Roman" w:cs="Arial Black"/>
          <w:lang w:bidi="ar-SA"/>
        </w:rPr>
      </w:pPr>
      <w:r>
        <w:rPr>
          <w:rFonts w:eastAsia="Times New Roman" w:cs="Arial Black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u w:val="single"/>
        </w:rPr>
      </w:pPr>
      <w:r>
        <w:rPr>
          <w:rFonts w:cs="Calibri"/>
          <w:b/>
          <w:u w:val="single"/>
        </w:rPr>
      </w:r>
    </w:p>
    <w:p>
      <w:pPr>
        <w:pStyle w:val="Standard"/>
        <w:tabs>
          <w:tab w:val="left" w:pos="1668" w:leader="none"/>
        </w:tabs>
        <w:jc w:val="center"/>
        <w:rPr>
          <w:rFonts w:ascii="Calibri" w:hAnsi="Calibri" w:cs="Calibri"/>
          <w:b/>
          <w:b/>
          <w:u w:val="single"/>
        </w:rPr>
      </w:pPr>
      <w:r>
        <w:rPr>
          <w:rFonts w:cs="Calibri"/>
          <w:b/>
          <w:sz w:val="36"/>
          <w:szCs w:val="36"/>
          <w:u w:val="single"/>
        </w:rPr>
        <w:t>ATERMAÇÃO – EMBARGOS DE TERCEIRO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Standard"/>
        <w:tabs>
          <w:tab w:val="left" w:pos="1668" w:leader="none"/>
        </w:tabs>
        <w:ind w:firstLine="113"/>
        <w:jc w:val="center"/>
        <w:rPr>
          <w:rFonts w:ascii="Liberation Serif" w:hAnsi="Liberation Serif"/>
        </w:rPr>
      </w:pPr>
      <w:r>
        <w:rPr>
          <w:rFonts w:cs="Calibri"/>
          <w:b/>
          <w:sz w:val="28"/>
          <w:szCs w:val="28"/>
          <w:shd w:fill="FFFF00" w:val="clear"/>
        </w:rPr>
        <w:t>*Distribuído por Dependência ao Processo de Execução n.°</w:t>
      </w:r>
    </w:p>
    <w:p>
      <w:pPr>
        <w:pStyle w:val="Standard"/>
        <w:tabs>
          <w:tab w:val="left" w:pos="1668" w:leader="none"/>
        </w:tabs>
        <w:ind w:firstLine="113"/>
        <w:jc w:val="center"/>
        <w:rPr>
          <w:rFonts w:ascii="Calibri" w:hAnsi="Calibri" w:cs="Calibri"/>
          <w:b/>
          <w:b/>
          <w:sz w:val="28"/>
          <w:szCs w:val="28"/>
          <w:highlight w:val="yellow"/>
        </w:rPr>
      </w:pPr>
      <w:r>
        <w:rPr>
          <w:rFonts w:cs="Calibri"/>
          <w:b/>
          <w:sz w:val="28"/>
          <w:szCs w:val="28"/>
          <w:shd w:fill="FFFF00" w:val="clear"/>
        </w:rPr>
        <w:t>tramita perante o _____JUIZADO ESPECIAL CÍVEL:</w:t>
      </w:r>
    </w:p>
    <w:p>
      <w:pPr>
        <w:pStyle w:val="Standard"/>
        <w:tabs>
          <w:tab w:val="left" w:pos="1668" w:leader="none"/>
        </w:tabs>
        <w:ind w:firstLine="113"/>
        <w:jc w:val="both"/>
        <w:rPr>
          <w:rFonts w:ascii="Liberation Serif" w:hAnsi="Liberation Serif" w:cs="Calibri"/>
          <w:b/>
          <w:b/>
          <w:sz w:val="24"/>
          <w:szCs w:val="24"/>
          <w:highlight w:val="yellow"/>
        </w:rPr>
      </w:pPr>
      <w:r>
        <w:rPr>
          <w:rFonts w:cs="Calibri"/>
          <w:b/>
          <w:sz w:val="24"/>
          <w:szCs w:val="24"/>
          <w:highlight w:val="yellow"/>
        </w:rPr>
      </w:r>
    </w:p>
    <w:tbl>
      <w:tblPr>
        <w:tblW w:w="9900" w:type="dxa"/>
        <w:jc w:val="left"/>
        <w:tblInd w:w="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9"/>
        <w:gridCol w:w="4050"/>
      </w:tblGrid>
      <w:tr>
        <w:trPr/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ACEITE AO JUÍZO 100% DIGITAL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   ) SIM       (   ) NÃO</w:t>
            </w:r>
          </w:p>
        </w:tc>
      </w:tr>
      <w:tr>
        <w:trPr/>
        <w:tc>
          <w:tcPr>
            <w:tcW w:w="98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8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Seu WhatsApp Embargante:                                              Telefone p/ recados:</w:t>
            </w:r>
          </w:p>
        </w:tc>
      </w:tr>
      <w:tr>
        <w:trPr/>
        <w:tc>
          <w:tcPr>
            <w:tcW w:w="98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8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WhatsApp da parte Embargada:                                       Telefone p/ recados:</w:t>
            </w:r>
          </w:p>
        </w:tc>
      </w:tr>
      <w:tr>
        <w:trPr/>
        <w:tc>
          <w:tcPr>
            <w:tcW w:w="98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 da parte Embargante: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color w:val="00000A"/>
          <w:sz w:val="10"/>
          <w:szCs w:val="10"/>
        </w:rPr>
      </w:pPr>
      <w:r>
        <w:rPr>
          <w:rFonts w:cs="Calibri"/>
          <w:b/>
          <w:bCs/>
          <w:i/>
          <w:iCs/>
          <w:color w:val="00000A"/>
          <w:sz w:val="10"/>
          <w:szCs w:val="10"/>
        </w:rPr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</w:r>
    </w:p>
    <w:tbl>
      <w:tblPr>
        <w:tblW w:w="9885" w:type="dxa"/>
        <w:jc w:val="left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10"/>
        <w:gridCol w:w="540"/>
        <w:gridCol w:w="1814"/>
        <w:gridCol w:w="196"/>
        <w:gridCol w:w="1244"/>
        <w:gridCol w:w="3781"/>
      </w:tblGrid>
      <w:tr>
        <w:trPr/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Prioridade:</w:t>
            </w:r>
          </w:p>
        </w:tc>
        <w:tc>
          <w:tcPr>
            <w:tcW w:w="757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 ) Maior de 60 Anos       (    ) Maior de 80 Anos</w:t>
            </w:r>
            <w:r>
              <w:rPr/>
              <w:t xml:space="preserve">      </w:t>
            </w:r>
            <w:r>
              <w:rPr>
                <w:b/>
                <w:bCs/>
              </w:rPr>
              <w:t xml:space="preserve">   (  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(   ) PCD                                ( X ) Tutela Provisória de Urgência</w:t>
            </w:r>
          </w:p>
        </w:tc>
      </w:tr>
      <w:tr>
        <w:trPr/>
        <w:tc>
          <w:tcPr>
            <w:tcW w:w="98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  <w:sz w:val="28"/>
                <w:szCs w:val="28"/>
              </w:rPr>
              <w:t>EMBARGANTE/RECLAMANTE</w:t>
            </w:r>
          </w:p>
        </w:tc>
      </w:tr>
      <w:tr>
        <w:trPr/>
        <w:tc>
          <w:tcPr>
            <w:tcW w:w="98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 Civil:</w:t>
            </w:r>
          </w:p>
        </w:tc>
        <w:tc>
          <w:tcPr>
            <w:tcW w:w="52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Nacionalidade:</w:t>
            </w:r>
          </w:p>
        </w:tc>
      </w:tr>
      <w:tr>
        <w:trPr/>
        <w:tc>
          <w:tcPr>
            <w:tcW w:w="2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RG:</w:t>
            </w:r>
          </w:p>
        </w:tc>
        <w:tc>
          <w:tcPr>
            <w:tcW w:w="32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Órgão Exp:</w:t>
            </w:r>
          </w:p>
        </w:tc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 p/ recados:</w:t>
            </w:r>
          </w:p>
        </w:tc>
      </w:tr>
      <w:tr>
        <w:trPr/>
        <w:tc>
          <w:tcPr>
            <w:tcW w:w="48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CPF:</w:t>
            </w:r>
          </w:p>
        </w:tc>
        <w:tc>
          <w:tcPr>
            <w:tcW w:w="50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8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</w:tc>
        <w:tc>
          <w:tcPr>
            <w:tcW w:w="52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</w:tc>
        <w:tc>
          <w:tcPr>
            <w:tcW w:w="52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Telefone:</w:t>
            </w:r>
          </w:p>
        </w:tc>
        <w:tc>
          <w:tcPr>
            <w:tcW w:w="52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8"/>
          <w:szCs w:val="8"/>
        </w:rPr>
      </w:pPr>
      <w:r>
        <w:rPr>
          <w:rFonts w:cs="Calibri"/>
          <w:sz w:val="8"/>
          <w:szCs w:val="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Calibri"/>
        </w:rPr>
        <w:t>A parte Embargante acima qualificada, vem à presença de V. Exa.</w:t>
      </w:r>
      <w:r>
        <w:rPr>
          <w:rFonts w:cs="Calibri"/>
          <w:b w:val="false"/>
          <w:bCs w:val="false"/>
        </w:rPr>
        <w:t xml:space="preserve"> opor os presentes:</w:t>
      </w:r>
    </w:p>
    <w:tbl>
      <w:tblPr>
        <w:tblW w:w="9900" w:type="dxa"/>
        <w:jc w:val="left"/>
        <w:tblInd w:w="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00"/>
      </w:tblGrid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  <w:shd w:fill="FFFF00" w:val="clear"/>
              </w:rPr>
              <w:t xml:space="preserve"> </w:t>
            </w:r>
            <w:r>
              <w:rPr>
                <w:rFonts w:cs="Calibri"/>
                <w:b/>
                <w:sz w:val="36"/>
                <w:szCs w:val="36"/>
                <w:shd w:fill="FFFF00" w:val="clear"/>
              </w:rPr>
              <w:t>EMBARGOS DE TERCEIRO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  <w:shd w:fill="FFFF00" w:val="clear"/>
              </w:rPr>
              <w:t>Com fulcro no art. 674 do CPC/2015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  <w:b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PARTE EXEQUENTE, ORA EMBARGADA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  <w:p>
            <w:pPr>
              <w:pStyle w:val="Normal"/>
              <w:rPr/>
            </w:pPr>
            <w:r>
              <w:rPr/>
              <w:t>Telefone:                                                                                Telefone p/ recados: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810" w:type="dxa"/>
        <w:jc w:val="left"/>
        <w:tblInd w:w="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10"/>
      </w:tblGrid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MOTIVAÇÃO DOS EMBARGOS DE TERCEIRO: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1. (  ) Houve penhora/bloqueio de seus bens ou sobre os quais tenha direito incompatível com o ato constritivo em processo em que não é parte processual.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2. (  ) Está sofrendo ameaça de constrição de seus bens ou sobre os quais tenha direito incompatível com o ato constritivo em processo em que não é parte processual.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3. (  ) Ser possuidor direto do bem penhorado/bloqueado, contudo o seu domínio pertence a terceiro (art. 677, § 1º, CPC/2015) que não é o Executado.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4. (x) O bem penhorado/bloqueado consiste em: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tbl>
      <w:tblPr>
        <w:tblW w:w="9840" w:type="dxa"/>
        <w:jc w:val="left"/>
        <w:tblInd w:w="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40"/>
      </w:tblGrid>
      <w:tr>
        <w:trPr/>
        <w:tc>
          <w:tcPr>
            <w:tcW w:w="9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FATOS E CIRCUNSTÂNCIAS</w:t>
            </w:r>
          </w:p>
        </w:tc>
      </w:tr>
      <w:tr>
        <w:trPr/>
        <w:tc>
          <w:tcPr>
            <w:tcW w:w="9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  <w:color w:val="000000"/>
              </w:rPr>
              <w:t xml:space="preserve">A parte Embargante foi surpreendida com a </w:t>
            </w:r>
            <w:r>
              <w:rPr>
                <w:rFonts w:cs="Calibri"/>
                <w:b/>
                <w:bCs/>
                <w:color w:val="000000"/>
              </w:rPr>
              <w:t>constrição/penhora/bloqueio</w:t>
            </w:r>
            <w:r>
              <w:rPr>
                <w:rFonts w:cs="Calibri"/>
                <w:color w:val="000000"/>
              </w:rPr>
              <w:t xml:space="preserve"> do bem indicado acima, o qual informa que a parte EMBARGANTE é a real proprietária, e que, em decorrência de decisão judicial proferida por este Juízo em processo EM QUE NÃO É PARTE PROCESSUAL, ou seja, é alheia à relação jurídica discutida, conforme documentos anexos (</w:t>
            </w:r>
            <w:r>
              <w:rPr>
                <w:rFonts w:cs="Calibri"/>
                <w:i/>
                <w:iCs/>
                <w:color w:val="000000"/>
              </w:rPr>
              <w:t>prova de que é proprietária do bem e de que é um terceiro na relação jurídica</w:t>
            </w:r>
            <w:r>
              <w:rPr>
                <w:rFonts w:cs="Calibri"/>
                <w:color w:val="000000"/>
              </w:rPr>
              <w:t>).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Assim sendo, requer: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a) Em sede de antecipação de tutela, art. 300 do CPC, que seja suspenso o ato constritivo sobre os bens litigiosos objeto dos presentes embargos, bem como a sua manutenção na posse ou reintegração provisória da posse do bem, até a solução final da demanda.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b) No mérito, que o ato de constrição indevida seja desconstituído, com o reconhecimento do domínio, da manutenção da posse ou da reintegração definitiva do bem ou do direito à parte Embargante.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Standard"/>
        <w:rPr>
          <w:rFonts w:ascii="Liberation Serif" w:hAnsi="Liberation Serif"/>
        </w:rPr>
      </w:pPr>
      <w:r>
        <w:rPr/>
      </w:r>
    </w:p>
    <w:tbl>
      <w:tblPr>
        <w:tblW w:w="9810" w:type="dxa"/>
        <w:jc w:val="left"/>
        <w:tblInd w:w="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10"/>
      </w:tblGrid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 xml:space="preserve">DA TUTELA PROVISÓRIA DE URGÊNCIA 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/>
                <w:b/>
                <w:i/>
                <w:iCs/>
                <w:u w:val="none"/>
              </w:rPr>
              <w:t>caput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43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 xml:space="preserve">Em razão da existência de elementos que evidenciam a probabilidade do direito e o perigo de dano ou o risco ao resultado útil do processo, conforme os fatos ora narrados, que seja concedida liminarmente, a tutela provisória de urgência, de forma </w:t>
            </w:r>
            <w:r>
              <w:rPr>
                <w:i/>
              </w:rPr>
              <w:t>“inaudita altera pars”(</w:t>
            </w:r>
            <w:r>
              <w:rPr>
                <w:b/>
                <w:bCs/>
                <w:i/>
              </w:rPr>
              <w:t>sem ouvir a parte contrária</w:t>
            </w:r>
            <w:r>
              <w:rPr>
                <w:i/>
              </w:rPr>
              <w:t>”</w:t>
            </w:r>
            <w:r>
              <w:rPr/>
              <w:t>, ou após contraditório prévio (CPC 300 §2º) para: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 xml:space="preserve">1. </w:t>
            </w:r>
            <w:r>
              <w:rPr>
                <w:rFonts w:cs="Calibri"/>
                <w:b/>
                <w:bCs/>
              </w:rPr>
              <w:t xml:space="preserve">(x) Determinar a SUSPENSÃO do ato constritivo sobre os bens litigiosos objeto dos embargos de terceiro, bem como a sua </w:t>
            </w:r>
            <w:r>
              <w:rPr>
                <w:rFonts w:cs="Calibri"/>
                <w:b/>
                <w:bCs/>
                <w:shd w:fill="FFFF00" w:val="clear"/>
              </w:rPr>
              <w:t>MANUTENÇÃO NA POSSE</w:t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  <w:shd w:fill="FF4000" w:val="clear"/>
              </w:rPr>
              <w:t>ou</w:t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  <w:shd w:fill="FFFF00" w:val="clear"/>
              </w:rPr>
              <w:t>REINTEGRAÇÃO</w:t>
            </w:r>
            <w:r>
              <w:rPr>
                <w:rFonts w:cs="Calibri"/>
                <w:b/>
                <w:bCs/>
              </w:rPr>
              <w:t xml:space="preserve"> PROVISÓRIA DA POSSE do bem, até a solução final da demanda;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 xml:space="preserve">2. ( ) </w:t>
            </w:r>
            <w:r>
              <w:rPr/>
              <w:t xml:space="preserve">Proceder a consulta, via Sistema </w:t>
            </w:r>
            <w:r>
              <w:rPr>
                <w:b/>
              </w:rPr>
              <w:t>BACENJUD ou RENAJUD ou INFOJUD</w:t>
            </w:r>
            <w:r>
              <w:rPr/>
              <w:t>, dos dados qualificadores da parte reclamada, em razão do que preceitua o CPC 319 §1º, ademais a parte reclamante já esvaiu todas as possibilidades extrajudiciais de tentar localizar os dados da parte reclamada;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3. (  ) Determinar a suspensão do processo executivo até final sentença transitada em julgado;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4. (  ) Outros:</w:t>
            </w:r>
          </w:p>
        </w:tc>
      </w:tr>
    </w:tbl>
    <w:p>
      <w:pPr>
        <w:pStyle w:val="Standard"/>
        <w:rPr>
          <w:rFonts w:ascii="Liberation Serif" w:hAnsi="Liberation Serif"/>
        </w:rPr>
      </w:pPr>
      <w:r>
        <w:rPr/>
      </w:r>
    </w:p>
    <w:tbl>
      <w:tblPr>
        <w:tblW w:w="9810" w:type="dxa"/>
        <w:jc w:val="left"/>
        <w:tblInd w:w="1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10"/>
      </w:tblGrid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PEDIDOS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/>
                <w:b/>
                <w:bCs/>
              </w:rPr>
              <w:t>Posto isso</w:t>
            </w:r>
            <w:r>
              <w:rPr>
                <w:rFonts w:cs="Calibri"/>
              </w:rPr>
              <w:t xml:space="preserve">,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</w:rPr>
              <w:t xml:space="preserve"> da parte Embargada(</w:t>
            </w:r>
            <w:r>
              <w:rPr>
                <w:rFonts w:cs="Calibri"/>
                <w:b/>
                <w:bCs/>
              </w:rPr>
              <w:t>Exequente do processo de execução</w:t>
            </w:r>
            <w:r>
              <w:rPr>
                <w:rFonts w:cs="Calibri"/>
              </w:rPr>
              <w:t xml:space="preserve">), para apresentar contestação aos termos dos presentes embargos de terceiro, </w:t>
            </w:r>
            <w:r>
              <w:rPr>
                <w:rFonts w:cs="Calibri"/>
                <w:b/>
                <w:bCs/>
              </w:rPr>
              <w:t>em 15 dias (art. 679 do CPC)</w:t>
            </w:r>
            <w:r>
              <w:rPr>
                <w:rFonts w:cs="Calibri"/>
              </w:rPr>
              <w:t xml:space="preserve"> e comparecer às audiências, se necessário, produzir as provas que entender, inclusive contestação, sob pena de revelia, com a </w:t>
            </w:r>
            <w:r>
              <w:rPr>
                <w:rFonts w:cs="Calibri"/>
                <w:b/>
                <w:bCs/>
              </w:rPr>
              <w:t>procedência</w:t>
            </w:r>
            <w:r>
              <w:rPr>
                <w:rFonts w:cs="Calibri"/>
              </w:rPr>
              <w:t xml:space="preserve"> dos pedidos e </w:t>
            </w:r>
            <w:r>
              <w:rPr>
                <w:rFonts w:cs="Calibri"/>
                <w:b/>
                <w:bCs/>
              </w:rPr>
              <w:t>a declaração de reconhecimento de que os bens questionados pertencem à parte Embargante e não à parte Embargada, com IMEDIATA LIBERAÇÃO DA RESTRIÇÃO,</w:t>
            </w:r>
            <w:r>
              <w:rPr>
                <w:rFonts w:cs="Calibri"/>
              </w:rPr>
              <w:t xml:space="preserve"> além de ratificar a liminar deferida em fase de antecipação de tutela, ainda: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>1. (x) Seja suspenso o processo principal de Execução;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>2. (x) Determinar que o ato de constrição indevido seja CANCELADO, com o reconhecimento do domínio, da manutenção da posse ou da reintegração definitiva do bem ou do direito ao embargante;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3. (x) </w:t>
            </w:r>
            <w:r>
              <w:rPr>
                <w:rFonts w:cs="Calibri"/>
                <w:b/>
                <w:bCs/>
              </w:rPr>
              <w:t>Seja deferido o benefício da gratuidade da Justiça, nos termos do art. 98 e seguintes do CPC/2015;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3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4. (  ) Outros: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810" w:type="dxa"/>
        <w:jc w:val="left"/>
        <w:tblInd w:w="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10"/>
      </w:tblGrid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DOCUMENTOS COMPROBATÓRIOS: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>
                <w:rFonts w:cs="Calibri"/>
                <w:color w:val="0D0D0D" w:themeColor="text1" w:themeTint="f2"/>
              </w:rPr>
              <w:t>Relação dos documentos comprobatórios que possui: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1) Prova da propriedade ou posse do bem penhorado/bloqueado;</w:t>
            </w:r>
          </w:p>
          <w:p>
            <w:pPr>
              <w:pStyle w:val="Normal"/>
              <w:rPr/>
            </w:pPr>
            <w:r>
              <w:rPr/>
              <w:t>2) Prova da restrição feito pelo Juízo no processo principal de Execução;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3)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810" w:type="dxa"/>
        <w:jc w:val="left"/>
        <w:tblInd w:w="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10"/>
      </w:tblGrid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4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DOCUMENTOS OBRIGATÓRIOS: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43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  <w:color w:val="000000"/>
              </w:rPr>
              <w:t>RG, 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0" w:name="__DdeLink__44858_98010490"/>
      <w:r>
        <w:rPr>
          <w:b/>
          <w:bCs/>
        </w:rPr>
        <w:t>R$….</w:t>
      </w:r>
      <w:bookmarkEnd w:id="0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1" w:name="__DdeLink__948_1495355656"/>
      <w:bookmarkEnd w:id="1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2" w:name="__DdeLink__4567_1478448023"/>
      <w:r>
        <w:rPr>
          <w:b/>
          <w:bCs/>
          <w:sz w:val="24"/>
          <w:szCs w:val="24"/>
        </w:rPr>
        <w:t>3</w:t>
      </w:r>
      <w:bookmarkEnd w:id="2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/>
      </w:pPr>
      <w:r>
        <w:rPr>
          <w:rFonts w:cs="Calibri"/>
          <w:sz w:val="24"/>
          <w:szCs w:val="24"/>
        </w:rPr>
        <w:t>Assinatura</w:t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"/>
    <w:uiPriority w:val="9"/>
    <w:semiHidden/>
    <w:unhideWhenUsed/>
    <w:qFormat/>
    <w:pPr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s">
    <w:name w:val="ins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>
      <w:widowControl/>
      <w:overflowPunct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t-BR" w:eastAsia="zh-CN" w:bidi="hi-IN"/>
    </w:rPr>
  </w:style>
  <w:style w:type="paragraph" w:styleId="Ttulo1">
    <w:name w:val="Título1"/>
    <w:qFormat/>
    <w:pPr>
      <w:keepNext/>
      <w:widowControl w:val="false"/>
      <w:suppressAutoHyphens w:val="true"/>
      <w:overflowPunct w:val="tru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Application>LibreOffice/5.0.6.3$Windows_X86_64 LibreOffice_project/490fc03b25318460cfc54456516ea2519c11d1aa</Application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2020-06-02T15:07:00Z</dcterms:created>
  <dc:creator>CASA</dc:creator>
  <dc:language>pt-BR</dc:language>
  <dcterms:modified xsi:type="dcterms:W3CDTF">2025-06-11T21:06:31Z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