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/>
          <w:b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/>
        </w:rPr>
      </w:pPr>
      <w:r>
        <w:rPr>
          <w:rFonts w:cs="Calibri"/>
          <w:b/>
          <w:sz w:val="36"/>
          <w:szCs w:val="36"/>
          <w:u w:val="single"/>
        </w:rPr>
        <w:t>ATERMAÇÃO – AÇÃO CONTRA CONSÓRCIO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</w:rPr>
      </w:pPr>
      <w:r>
        <w:rPr/>
      </w:r>
    </w:p>
    <w:tbl>
      <w:tblPr>
        <w:tblW w:w="9915" w:type="dxa"/>
        <w:jc w:val="left"/>
        <w:tblInd w:w="-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</w:tblPr>
      <w:tblGrid>
        <w:gridCol w:w="2310"/>
        <w:gridCol w:w="7604"/>
      </w:tblGrid>
      <w:tr>
        <w:trPr/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CONSÓRCIO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CONSUMIDOR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GERAL</w:t>
            </w:r>
          </w:p>
        </w:tc>
        <w:tc>
          <w:tcPr>
            <w:tcW w:w="7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RESTITUIÇÃO DE VALORES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DECLARAÇÃO DE INEXISTÊNCIA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DANOS MORAIS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DANOS MATERIAIS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 FRAUDE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PRODUTO NÃO ENTREGUE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OUTROS:</w:t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10"/>
          <w:szCs w:val="10"/>
        </w:rPr>
      </w:pPr>
      <w:r>
        <w:rPr>
          <w:b/>
          <w:bCs/>
          <w:i/>
          <w:iCs/>
          <w:sz w:val="10"/>
          <w:szCs w:val="10"/>
        </w:rPr>
      </w:r>
    </w:p>
    <w:tbl>
      <w:tblPr>
        <w:tblW w:w="9933" w:type="dxa"/>
        <w:jc w:val="left"/>
        <w:tblInd w:w="-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3"/>
      </w:tblGrid>
      <w:tr>
        <w:trPr>
          <w:trHeight w:val="1652" w:hRule="atLeast"/>
        </w:trPr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(  ) Opto pela tramitação via CEJUSC – Centro Judiciário de Solução de Conflitos e Cidadania,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 Caso não haja acordo, o procedimento será encaminhado para os Juizados para regular andamento processamento.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908" w:type="dxa"/>
        <w:jc w:val="left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4" w:type="dxa"/>
        </w:tblCellMar>
        <w:tblLook w:firstRow="1" w:noVBand="1" w:lastRow="0" w:firstColumn="1" w:lastColumn="0" w:noHBand="0" w:val="04a0"/>
      </w:tblPr>
      <w:tblGrid>
        <w:gridCol w:w="5849"/>
        <w:gridCol w:w="4058"/>
      </w:tblGrid>
      <w:tr>
        <w:trPr/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WhatsApp:</w:t>
            </w:r>
          </w:p>
        </w:tc>
      </w:tr>
      <w:tr>
        <w:trPr/>
        <w:tc>
          <w:tcPr>
            <w:tcW w:w="9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processada:                                      Telefone p/ recados:</w:t>
            </w:r>
          </w:p>
        </w:tc>
      </w:tr>
      <w:tr>
        <w:trPr/>
        <w:tc>
          <w:tcPr>
            <w:tcW w:w="9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10"/>
          <w:szCs w:val="10"/>
        </w:rPr>
      </w:pPr>
      <w:r>
        <w:rPr>
          <w:rFonts w:cs="Calibri"/>
          <w:b/>
          <w:bCs/>
          <w:i/>
          <w:iCs/>
          <w:sz w:val="10"/>
          <w:szCs w:val="10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tbl>
      <w:tblPr>
        <w:tblW w:w="9930" w:type="dxa"/>
        <w:jc w:val="left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524"/>
        <w:gridCol w:w="1830"/>
        <w:gridCol w:w="196"/>
        <w:gridCol w:w="1229"/>
        <w:gridCol w:w="3811"/>
      </w:tblGrid>
      <w:tr>
        <w:trPr/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2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5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 ) Maior de 60 Anos       (  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(   ) PCD                                (   ) Tutela Provisória de Urgência</w:t>
            </w:r>
          </w:p>
        </w:tc>
      </w:tr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2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Nacionalidade: </w:t>
            </w:r>
          </w:p>
        </w:tc>
      </w:tr>
      <w:tr>
        <w:trPr/>
        <w:tc>
          <w:tcPr>
            <w:tcW w:w="28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Exp: SSP</w:t>
            </w:r>
          </w:p>
        </w:tc>
        <w:tc>
          <w:tcPr>
            <w:tcW w:w="3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Data Emissão:</w:t>
            </w:r>
          </w:p>
        </w:tc>
      </w:tr>
      <w:tr>
        <w:trPr/>
        <w:tc>
          <w:tcPr>
            <w:tcW w:w="48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Fone:</w:t>
            </w:r>
          </w:p>
        </w:tc>
        <w:tc>
          <w:tcPr>
            <w:tcW w:w="52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/>
        </w:rPr>
      </w:pPr>
      <w:r>
        <w:rPr/>
        <w:t>A parte Autora acima qualificada, com base na Lei nº 9.099/95 c/c Lei nº 11.795/2008, vem à presença de V. Exa. propor a presente:</w:t>
      </w:r>
    </w:p>
    <w:tbl>
      <w:tblPr>
        <w:tblW w:w="9870" w:type="dxa"/>
        <w:jc w:val="left"/>
        <w:tblInd w:w="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>AÇÃO DECLARATÓRIA SOBRE CONSÓRCIO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shd w:fill="FFFF00" w:val="clear"/>
              </w:rPr>
              <w:t>(RESTITUIÇÃO DE VALORES PAGOS POR DESISTÊNCIA)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shd w:fill="FFFF00" w:val="clear"/>
              </w:rPr>
              <w:t>(OBRIGAÇÃO DE FAZER – DEMORA NA ENTREGA DO BEM)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shd w:fill="FFFF00" w:val="clear"/>
              </w:rPr>
              <w:t>(CONTRATO QUITAÇÃO  ENTREGA DO BEM OU DINHEIRO)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shd w:fill="FFFF00" w:val="clear"/>
              </w:rPr>
              <w:t>(CONTRATO FRAUDULENTO(COMPRA E VENDA SIMPLES)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shd w:fill="FFFF00" w:val="clear"/>
              </w:rPr>
              <w:t>(OUTROS)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lightGray"/>
              </w:rPr>
            </w:pPr>
            <w:r>
              <w:rPr>
                <w:rFonts w:cs="Calibri"/>
                <w:b/>
                <w:sz w:val="28"/>
                <w:szCs w:val="28"/>
                <w:shd w:fill="B2B2B2" w:val="clear"/>
              </w:rPr>
              <w:t>PARTE RÉ/RECLAMADA: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Whatsapp/Telefone</w:t>
            </w:r>
          </w:p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870" w:type="dxa"/>
        <w:jc w:val="left"/>
        <w:tblInd w:w="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DOS FATOS E CIRCUNSTÂNCIAS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color w:val="000000" w:themeColor="text1"/>
              </w:rPr>
              <w:t>A parte Autora foi informada pelo Núcleo de Atermação sobre o artigo 30 da L</w:t>
            </w:r>
            <w:bookmarkStart w:id="0" w:name="__DdeLink__292_256662347"/>
            <w:r>
              <w:rPr>
                <w:rFonts w:cs="Calibri"/>
                <w:color w:val="000000" w:themeColor="text1"/>
              </w:rPr>
              <w:t>ei nº 11.795/2008. A parte Autora</w:t>
            </w:r>
            <w:bookmarkEnd w:id="0"/>
            <w:r>
              <w:rPr>
                <w:rFonts w:cs="Calibri"/>
                <w:color w:val="000000" w:themeColor="text1"/>
                <w:highlight w:val="white"/>
              </w:rPr>
              <w:t xml:space="preserve"> </w:t>
            </w:r>
            <w:r>
              <w:rPr>
                <w:rFonts w:cs="Calibri"/>
                <w:color w:val="000000" w:themeColor="text1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a tutela provisória de urgência, de forma </w:t>
            </w:r>
            <w:r>
              <w:rPr>
                <w:rFonts w:cs="Calibri"/>
                <w:i/>
              </w:rPr>
              <w:t xml:space="preserve">“inaudita altera pars” </w:t>
            </w:r>
            <w:r>
              <w:rPr>
                <w:rFonts w:cs="Calibri"/>
                <w:i w:val="false"/>
                <w:iCs w:val="false"/>
              </w:rPr>
              <w:t>(sem ouvir a parte contrária)</w:t>
            </w:r>
            <w:r>
              <w:rPr>
                <w:rFonts w:cs="Calibri"/>
              </w:rPr>
              <w:t xml:space="preserve"> ou após contraditório prévio (art. 300, § 2º, CPC), para: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1. (  ) Retirar o nome do requerente dos cadastros restritivos de crédito, como SPC, SERASA e SCPC  ou Cartório de Protestos em 24h;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2. (  ) Abster-se de incluir o nome do requerente nos cadastros restritivos de crédito;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3. (  ) Suspender a cobrança do débito;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4. (  ) Ressarcir imediatamente os valores retidos indevidamente pela parte Ré;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 xml:space="preserve">5. (  ) Proceder a </w:t>
            </w:r>
            <w:r>
              <w:rPr>
                <w:rFonts w:cs="Calibri"/>
                <w:b/>
                <w:bCs/>
              </w:rPr>
              <w:t>consulta</w:t>
            </w:r>
            <w:r>
              <w:rPr>
                <w:rFonts w:cs="Calibri"/>
              </w:rPr>
              <w:t>, via Sistema BACENJUD ou RENAJUD ou INFOJUD, dos dados qualificadores da parte reclamada, em razão do que preceitua o NCPC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 xml:space="preserve">6. (  ) Proceder </w:t>
            </w:r>
            <w:r>
              <w:rPr>
                <w:rFonts w:cs="Calibri"/>
                <w:b/>
                <w:bCs/>
              </w:rPr>
              <w:t>bloqueio</w:t>
            </w:r>
            <w:r>
              <w:rPr>
                <w:rFonts w:cs="Calibri"/>
              </w:rPr>
              <w:t xml:space="preserve"> de bens e valores, via Sistema BACENJUD ou RENAJUD ou INFOJUD, visando a garantia útil da presente ação de conhecimento;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bookmarkStart w:id="1" w:name="_GoBack"/>
            <w:bookmarkEnd w:id="1"/>
            <w:r>
              <w:rPr/>
              <w:t>7. (  ) Outros: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audiências; produzir as provas que entender, inclusive apresentar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a </w:t>
            </w:r>
            <w:r>
              <w:rPr>
                <w:rFonts w:cs="Calibri"/>
                <w:b/>
                <w:bCs/>
              </w:rPr>
              <w:t>condenação</w:t>
            </w:r>
            <w:r>
              <w:rPr>
                <w:rFonts w:cs="Calibri"/>
              </w:rPr>
              <w:t xml:space="preserve"> da parte Ré a restituir imediatamente os valores pagos ou entrega do bem, com a ratificação da tutela de urgência eventualmente deferida.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b/>
                <w:bCs/>
              </w:rPr>
              <w:t xml:space="preserve">1. </w:t>
            </w:r>
            <w:r>
              <w:rPr>
                <w:rFonts w:cs="Calibri"/>
                <w:b/>
                <w:bCs/>
                <w:shd w:fill="FFFFFF" w:val="clear"/>
              </w:rPr>
              <w:t xml:space="preserve">(x) </w:t>
            </w:r>
            <w:r>
              <w:rPr>
                <w:rFonts w:cs="Calibri"/>
                <w:b/>
                <w:bCs/>
              </w:rPr>
              <w:t>Inversão do ônus da prova;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/>
                <w:bCs/>
              </w:rPr>
              <w:t xml:space="preserve">2. </w:t>
            </w:r>
            <w:r>
              <w:rPr>
                <w:rFonts w:cs="Calibri"/>
                <w:b/>
                <w:bCs/>
                <w:shd w:fill="FFFFFF" w:val="clear"/>
              </w:rPr>
              <w:t>(x) A restituição das parcelas que pagou cujo valor total é de R$…. (….), devidamente acrescidos</w:t>
            </w:r>
            <w:r>
              <w:rPr>
                <w:rFonts w:cs="Calibri"/>
                <w:b/>
                <w:bCs/>
                <w:highlight w:val="white"/>
                <w:shd w:fill="FFFFFF" w:val="clear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highlight w:val="white"/>
              </w:rPr>
              <w:t>com juros e correção monetária;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3. (  ) Pagar indenização por dano moral, no valor de R$…. (….)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4. (  ) Obrigação de fazer entregando o bem imediatamente, sob pena de multa diária;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/>
            </w:pPr>
            <w:r>
              <w:rPr>
                <w:b/>
                <w:bCs/>
              </w:rPr>
              <w:t xml:space="preserve">5. </w:t>
            </w:r>
            <w:r>
              <w:rPr>
                <w:rFonts w:cs="Calibri"/>
                <w:b/>
                <w:bCs/>
              </w:rPr>
              <w:t>(x) Seja deferido o benefício da gratuidade da Justiça, nos termos do art. 98 e seguintes do CPC/2015;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6. (  ) Outro pedido: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-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>
          <w:trHeight w:val="320" w:hRule="atLeast"/>
        </w:trPr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/>
              <w:t>Relação dos documentos comprobatórios que possui:</w:t>
            </w:r>
          </w:p>
          <w:p>
            <w:pPr>
              <w:pStyle w:val="Normal"/>
              <w:rPr/>
            </w:pPr>
            <w:r>
              <w:rPr>
                <w:rFonts w:cs="Calibri"/>
                <w:color w:val="000000" w:themeColor="text1"/>
              </w:rPr>
              <w:t>1) Contrato do consórcio;</w:t>
            </w:r>
          </w:p>
          <w:p>
            <w:pPr>
              <w:pStyle w:val="Normal"/>
              <w:rPr/>
            </w:pPr>
            <w:r>
              <w:rPr/>
              <w:t>2) Comprovantes de pagamentos;</w:t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/>
              <w:t>3)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-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2" w:name="__DdeLink__44858_98010490"/>
      <w:r>
        <w:rPr>
          <w:b/>
          <w:bCs/>
        </w:rPr>
        <w:t>R$….</w:t>
      </w:r>
      <w:bookmarkEnd w:id="2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3" w:name="__DdeLink__948_1495355656"/>
      <w:bookmarkEnd w:id="3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4" w:name="__DdeLink__4567_1478448023"/>
      <w:r>
        <w:rPr>
          <w:b/>
          <w:bCs/>
          <w:sz w:val="24"/>
          <w:szCs w:val="24"/>
        </w:rPr>
        <w:t>3</w:t>
      </w:r>
      <w:bookmarkEnd w:id="4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uiPriority w:val="9"/>
    <w:semiHidden/>
    <w:unhideWhenUsed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uiPriority w:val="9"/>
    <w:semiHidden/>
    <w:unhideWhenUsed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Ins" w:customStyle="1">
    <w:name w:val="ins"/>
    <w:qFormat/>
    <w:rPr/>
  </w:style>
  <w:style w:type="character" w:styleId="LinkdaInternet">
    <w:name w:val="Link da Internet"/>
    <w:basedOn w:val="DefaultParagraphFont"/>
    <w:qFormat/>
    <w:rPr>
      <w:color w:val="0000FF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1">
    <w:name w:val="Ênfase1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overflowPunct w:val="fals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 w:val="false"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31">
    <w:name w:val="Título 31"/>
    <w:qFormat/>
    <w:pPr>
      <w:widowControl w:val="false"/>
      <w:suppressAutoHyphens w:val="true"/>
      <w:overflowPunct w:val="true"/>
      <w:bidi w:val="0"/>
      <w:spacing w:before="140" w:after="120"/>
      <w:jc w:val="left"/>
      <w:outlineLvl w:val="2"/>
    </w:pPr>
    <w:rPr>
      <w:rFonts w:ascii="Times New Roman" w:hAnsi="Times New Roman" w:eastAsia="SimSun" w:cs="Times New Roman"/>
      <w:b/>
      <w:bCs/>
      <w:color w:val="808080"/>
      <w:sz w:val="24"/>
      <w:szCs w:val="20"/>
      <w:lang w:val="pt-BR" w:eastAsia="zh-CN" w:bidi="hi-IN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1">
    <w:name w:val="Corpo de texto1"/>
    <w:basedOn w:val="Normal"/>
    <w:qFormat/>
    <w:pPr>
      <w:spacing w:lineRule="auto" w:line="288" w:before="0" w:after="140"/>
    </w:pPr>
    <w:rPr/>
  </w:style>
  <w:style w:type="paragraph" w:styleId="Lista1">
    <w:name w:val="Lista1"/>
    <w:basedOn w:val="Corpodetexto1"/>
    <w:qFormat/>
    <w:pPr>
      <w:widowControl w:val="false"/>
      <w:bidi w:val="0"/>
      <w:jc w:val="left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>
    <w:name w:val="Cabeçalho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1">
    <w:name w:val="Rodapé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abealhoerodap31">
    <w:name w:val="Cabeçalho e rodapé31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ADA6-A52B-42ED-8290-FBCAEED4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LibreOffice/5.0.6.3$Windows_X86_64 LibreOffice_project/490fc03b25318460cfc54456516ea2519c11d1aa</Application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2020-05-18T13:13:00Z</dcterms:created>
  <dc:creator>CASA</dc:creator>
  <dc:language>pt-BR</dc:language>
  <cp:lastPrinted>2025-05-06T14:59:37Z</cp:lastPrinted>
  <dcterms:modified xsi:type="dcterms:W3CDTF">2025-06-11T21:07:23Z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