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36"/>
          <w:szCs w:val="36"/>
          <w:u w:val="single"/>
        </w:rPr>
        <w:t>ATERMAÇÃO – OBRIGAÇÃO DE TRANSFERIR VEÍCULO E DANOS MORAIS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tbl>
      <w:tblPr>
        <w:tblStyle w:val="3"/>
        <w:tblW w:w="9915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8" w:type="dxa"/>
          <w:bottom w:w="0" w:type="dxa"/>
          <w:right w:w="108" w:type="dxa"/>
        </w:tblCellMar>
      </w:tblPr>
      <w:tblGrid>
        <w:gridCol w:w="2325"/>
        <w:gridCol w:w="7589"/>
      </w:tblGrid>
      <w:tr>
        <w:trPr/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OBRIGAÇÃO DE TRANSFERIR VEÍCULO</w:t>
            </w:r>
          </w:p>
        </w:tc>
        <w:tc>
          <w:tcPr>
            <w:tcW w:w="7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(   ) PARTE VENDEDORA EXIGIR DA COMPRADORA</w:t>
            </w:r>
          </w:p>
          <w:p>
            <w:pPr>
              <w:pStyle w:val="Standard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(   ) PARTE COMPRADORA EXIGIR DA VENDEDORA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(   ) OUTROS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/>
          <w:b/>
          <w:u w:val="single"/>
        </w:rPr>
      </w:r>
    </w:p>
    <w:tbl>
      <w:tblPr>
        <w:tblW w:w="9915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>
          <w:trHeight w:val="1652" w:hRule="atLeast"/>
        </w:trPr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00000A"/>
                <w:sz w:val="25"/>
                <w:szCs w:val="25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color w:val="00000A"/>
          <w:sz w:val="24"/>
          <w:szCs w:val="24"/>
        </w:rPr>
      </w:pPr>
      <w:r>
        <w:rPr>
          <w:b/>
          <w:bCs/>
          <w:i/>
          <w:iCs/>
          <w:color w:val="00000A"/>
          <w:sz w:val="24"/>
          <w:szCs w:val="24"/>
        </w:rPr>
      </w:r>
    </w:p>
    <w:tbl>
      <w:tblPr>
        <w:tblW w:w="9915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9"/>
        <w:gridCol w:w="4065"/>
      </w:tblGrid>
      <w:tr>
        <w:trPr/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 Decreto Judiciário 837/2021.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Seu WhatsApp:</w:t>
            </w:r>
            <w:bookmarkStart w:id="0" w:name="__DdeLink__253_728062516"/>
            <w:bookmarkEnd w:id="0"/>
            <w:r>
              <w:rPr>
                <w:rFonts w:cs="Calibri"/>
              </w:rPr>
              <w:t xml:space="preserve">                            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WhatsApp da parte Ré:              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Ré: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color w:val="00000A"/>
          <w:sz w:val="10"/>
          <w:szCs w:val="10"/>
        </w:rPr>
      </w:pPr>
      <w:r>
        <w:rPr>
          <w:rFonts w:cs="Calibri"/>
          <w:b/>
          <w:bCs/>
          <w:i/>
          <w:iCs/>
          <w:color w:val="00000A"/>
          <w:sz w:val="10"/>
          <w:szCs w:val="10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/>
          <w:b/>
          <w:bCs/>
          <w:i/>
          <w:iCs/>
          <w:sz w:val="10"/>
          <w:szCs w:val="10"/>
        </w:rPr>
      </w:r>
    </w:p>
    <w:tbl>
      <w:tblPr>
        <w:tblW w:w="9930" w:type="dxa"/>
        <w:jc w:val="left"/>
        <w:tblInd w:w="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4"/>
        <w:gridCol w:w="540"/>
        <w:gridCol w:w="1816"/>
        <w:gridCol w:w="194"/>
        <w:gridCol w:w="1230"/>
        <w:gridCol w:w="3826"/>
      </w:tblGrid>
      <w:tr>
        <w:trPr/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6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(   ) Maior de 60 Anos       ( 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(   ) PCD                                (   ) Tutela Provisória de Urgência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Exp: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Telefone p/ recados:</w:t>
            </w:r>
          </w:p>
        </w:tc>
      </w:tr>
      <w:tr>
        <w:trPr/>
        <w:tc>
          <w:tcPr>
            <w:tcW w:w="48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9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Telefone:</w:t>
            </w:r>
          </w:p>
        </w:tc>
        <w:tc>
          <w:tcPr>
            <w:tcW w:w="5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 parte Autora acima qualificada, vem à presença de V. Exa. propor a presente Ação de Obrigação de Fazer consistente a cumprir o combinado, com a transferência do veículo objeto da presente ação: </w:t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tbl>
      <w:tblPr>
        <w:tblW w:w="9915" w:type="dxa"/>
        <w:jc w:val="left"/>
        <w:tblInd w:w="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  <w:highlight w:val="yellow"/>
              </w:rPr>
              <w:t>AÇÃO DE OBRIGAÇÃO DE FAZER C/C DANOS MORAIS E RESTITUIÇÃO DE VALORES PAGOS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highlight w:val="blue"/>
              </w:rPr>
            </w:pPr>
            <w:r>
              <w:rPr>
                <w:rFonts w:cs="Calibri"/>
                <w:b/>
                <w:sz w:val="28"/>
                <w:szCs w:val="28"/>
                <w:highlight w:val="yellow"/>
              </w:rPr>
              <w:t>(TRANSFERÊNCIA DE TITULARIDADE DO VEÍCULO E SEUS ACESSÓRIOS PARA O NOME DA PARTE RÉ)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blue"/>
              </w:rPr>
            </w:pPr>
            <w:r>
              <w:rPr>
                <w:rFonts w:cs="Calibri"/>
                <w:b/>
                <w:sz w:val="28"/>
                <w:szCs w:val="28"/>
                <w:highlight w:val="red"/>
              </w:rPr>
              <w:t>ou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cs="Calibri"/>
                <w:b/>
                <w:sz w:val="28"/>
                <w:szCs w:val="28"/>
                <w:highlight w:val="yellow"/>
              </w:rPr>
              <w:t>(TRANSFERÊNCIA DE TITULARIDADE DO VEÍCULO E SEUS ACESSÓRIOS PARA O NOME DA PARTE AUTORA)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>
                <w:rFonts w:cs="Calibri"/>
              </w:rPr>
              <w:t>Telefone:                                                                              Telefone p/ recados:</w:t>
            </w:r>
          </w:p>
          <w:p>
            <w:pPr>
              <w:pStyle w:val="Normal"/>
              <w:rPr/>
            </w:pPr>
            <w:r>
              <w:rPr/>
              <w:t>E-mail</w:t>
            </w:r>
            <w:r>
              <w:rPr>
                <w:rFonts w:cs="Calibri" w:ascii="Calibri" w:hAnsi="Calibri"/>
              </w:rPr>
              <w:t>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DADOS SOBRE A RELAÇÃO JURÍDICA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Data da venda do veículo: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Placa e modelo do Veículo: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(   ) Valor das multas pagas pela parte Autora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(   )Valor das multas que não foram pagas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(   )Valor do IPVA pago pela parte Autora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(   )Valor do IPVA</w:t>
            </w:r>
            <w:r>
              <w:rPr>
                <w:rFonts w:cs="Calibri"/>
              </w:rPr>
              <w:t xml:space="preserve"> ainda pendente de pagamento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(   ) Quantidade de pontos em sua CNH (infrações de trânsito):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(   ) Outros débitos em aberto: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30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0"/>
      </w:tblGrid>
      <w:tr>
        <w:trPr/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color w:val="000000"/>
                <w:shd w:fill="FFFF00" w:val="clear"/>
              </w:rPr>
              <w:t xml:space="preserve">A parte Autora, ora Reclamante informa que </w:t>
            </w:r>
            <w:r>
              <w:rPr>
                <w:rFonts w:cs="Calibri"/>
                <w:b/>
                <w:bCs/>
                <w:color w:val="000000"/>
                <w:shd w:fill="FFFF00" w:val="clear"/>
              </w:rPr>
              <w:t>vendeu o veículo</w:t>
            </w:r>
            <w:r>
              <w:rPr>
                <w:rFonts w:cs="Calibri"/>
                <w:color w:val="000000"/>
                <w:shd w:fill="FFFF00" w:val="clear"/>
              </w:rPr>
              <w:t xml:space="preserve"> acima identificado para a parte Ré, ora Reclamada e o mesmo não se dignou em fazer a necessária transferência para o </w:t>
            </w:r>
            <w:r>
              <w:rPr>
                <w:rFonts w:cs="Calibri"/>
                <w:b/>
                <w:bCs/>
                <w:color w:val="000000"/>
                <w:shd w:fill="FFFF00" w:val="clear"/>
              </w:rPr>
              <w:t>seu nome junto ao DETRAN</w:t>
            </w:r>
            <w:r>
              <w:rPr>
                <w:rFonts w:cs="Calibri"/>
                <w:color w:val="000000"/>
                <w:shd w:fill="FFFF00" w:val="clear"/>
              </w:rPr>
              <w:t>, por sua culpa exclusiva, fato que vem trazendo irreparáveis prejuízos à parte Autora, quando passou a receber notificações de infrações de trânsito e os pontos correspondentes em sua CNH.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highlight w:val="black"/>
              </w:rPr>
            </w:pPr>
            <w:r>
              <w:rPr>
                <w:highlight w:val="red"/>
              </w:rPr>
              <w:t>ou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A parte Autora, ora Reclamante informa que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shd w:fill="FFFF00" w:val="clear"/>
              </w:rPr>
              <w:t>comprou o veículo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 acima identificado para a parte Ré, ora Reclamada e a mesma não se dignou em fazer a necessária transferência para o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shd w:fill="FFFF00" w:val="clear"/>
              </w:rPr>
              <w:t>meu nome junto ao DETRAN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, por sua culpa exclusiva, visto que o veículo está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shd w:fill="FFFF00" w:val="clear"/>
              </w:rPr>
              <w:t>QUITADO</w:t>
            </w: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 e sem nenhuma pendência, nem mesmo acessória, fato que vem trazendo irreparáveis prejuízos à parte Autora, quando não tem o efetivo direito de propriedade.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Ainda, a fim de evitar que seu nome seja incluído no rol dos devedores inadimplentes, foi compelido a pagar as multas e outros encargos que estavam em aberto, o que deverá ser ressarcido pela parte Compradora, ora Ré.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ind w:firstLine="1134"/>
              <w:jc w:val="both"/>
              <w:rPr>
                <w:rFonts w:ascii="Liberation Serif" w:hAnsi="Liberation Serif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915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que seja concedida liminarmente, a tutela provisória de urgência, de forma </w:t>
            </w:r>
            <w:r>
              <w:rPr>
                <w:rFonts w:cs="Calibri"/>
                <w:i/>
              </w:rPr>
              <w:t>“inaudita altera pars”(sem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1. (  ) Proceder a consulta, via Sistema BACENJUD ou RENAJUD ou INFOJUD, dos dados qualificadores da parte reclamada, em razão do que preceitua o 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2. (   ) Seja embargado junto ao DETRAN, noticiando a venda e o novo proprietário, impedindo a CIRCULAÇÃO DO VEÍCULO, inclusive com a apreensão do mesmo até que seja realizada a transferência do veículo e os débitos liquidados;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3. (  ) Seja realizado o bloqueio em conta bancária do Réu dos valores pagos pela parte Autora e de responsabilidade do mesmo, através do BACENJUD;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4. (  ) Seja determinada a suspensão/retirada dos pontos em sua CNH, transferindo-os para a para compradora acima identificada;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5. (    ) Outros: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audiências, produzir as provas que entender, inclusive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pedidos, bem como a </w:t>
            </w:r>
            <w:r>
              <w:rPr>
                <w:rFonts w:cs="Calibri"/>
                <w:b/>
                <w:bCs/>
                <w:u w:val="single"/>
              </w:rPr>
              <w:t>condenação</w:t>
            </w:r>
            <w:r>
              <w:rPr>
                <w:rFonts w:cs="Calibri"/>
              </w:rPr>
              <w:t xml:space="preserve"> da parte Ré/Reclamada,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  <w:u w:val="none"/>
                <w:shd w:fill="FFFF00" w:val="clear"/>
              </w:rPr>
              <w:t>a proceder a transferência do veículo automotor para o seu nome</w:t>
            </w:r>
            <w:r>
              <w:rPr>
                <w:rFonts w:cs="Calibri"/>
                <w:u w:val="none"/>
                <w:shd w:fill="FFFF00" w:val="clear"/>
              </w:rPr>
              <w:t>,</w:t>
            </w:r>
            <w:r>
              <w:rPr>
                <w:rFonts w:cs="Calibri"/>
                <w:shd w:fill="FFFF00" w:val="clear"/>
              </w:rPr>
              <w:t xml:space="preserve"> incluindo multas, pontos e infrações, sob pena de, não o fazendo, </w:t>
            </w:r>
            <w:r>
              <w:rPr>
                <w:rFonts w:cs="Calibri"/>
                <w:b/>
                <w:bCs/>
                <w:u w:val="none"/>
                <w:shd w:fill="FFFF00" w:val="clear"/>
              </w:rPr>
              <w:t>a sentença produzir o efeito da declaração não emitida, na forma do art. 501 do CPC</w:t>
            </w:r>
            <w:r>
              <w:rPr>
                <w:rFonts w:cs="Calibri"/>
                <w:shd w:fill="FFFF00" w:val="clear"/>
              </w:rPr>
              <w:t xml:space="preserve">, expedindo-se ofício ao DETRAN para este fim; </w:t>
            </w:r>
            <w:r>
              <w:rPr>
                <w:rFonts w:cs="Calibri"/>
                <w:b/>
                <w:bCs/>
                <w:shd w:fill="FFFF00" w:val="clear"/>
              </w:rPr>
              <w:t>aos danos morais,</w:t>
            </w:r>
            <w:r>
              <w:rPr>
                <w:rFonts w:cs="Calibri"/>
                <w:shd w:fill="FFFF00" w:val="clear"/>
              </w:rPr>
              <w:t xml:space="preserve"> fixando-se multa diária(astreinte).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>
                <w:highlight w:val="red"/>
              </w:rPr>
              <w:t>ou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  <w:u w:val="none"/>
                <w:shd w:fill="FFFF00" w:val="clear"/>
              </w:rPr>
              <w:t>a proceder a transferência do veículo automotor para o nome do Requerente</w:t>
            </w:r>
            <w:r>
              <w:rPr>
                <w:shd w:fill="FFFF00" w:val="clear"/>
              </w:rPr>
              <w:t xml:space="preserve">, responsabilizando por multas, pontos e infrações de sua responsabilidade, sob pena de, não o fazendo, </w:t>
            </w:r>
            <w:r>
              <w:rPr>
                <w:b/>
                <w:bCs/>
                <w:strike w:val="false"/>
                <w:dstrike w:val="false"/>
                <w:u w:val="none"/>
                <w:shd w:fill="FFFF00" w:val="clear"/>
              </w:rPr>
              <w:t>a sentença produzir o efeito da declaração não emitida, na forma do art. 501 do CPC</w:t>
            </w:r>
            <w:r>
              <w:rPr>
                <w:strike w:val="false"/>
                <w:dstrike w:val="false"/>
                <w:u w:val="none"/>
                <w:shd w:fill="FFFF00" w:val="clear"/>
              </w:rPr>
              <w:t>,</w:t>
            </w:r>
            <w:r>
              <w:rPr>
                <w:shd w:fill="FFFF00" w:val="clear"/>
              </w:rPr>
              <w:t xml:space="preserve"> expedindo-se ofício ao DETRAN para este fim; </w:t>
            </w:r>
            <w:r>
              <w:rPr>
                <w:b/>
                <w:bCs/>
                <w:shd w:fill="FFFF00" w:val="clear"/>
              </w:rPr>
              <w:t>aos danos morais,</w:t>
            </w:r>
            <w:r>
              <w:rPr>
                <w:shd w:fill="FFFF00" w:val="clear"/>
              </w:rPr>
              <w:t xml:space="preserve"> fixando-se multa diária(astreinte)</w:t>
            </w:r>
            <w:r>
              <w:rPr>
                <w:rFonts w:cs="Calibri"/>
                <w:shd w:fill="FFFF00" w:val="clear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1. (x) Seja ratificada a liminar deferida em sede de antecipação da tutela de urgência;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2. (  ) Inversão do ônus da prova;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before="0" w:after="140"/>
              <w:rPr/>
            </w:pPr>
            <w:r>
              <w:rPr>
                <w:rFonts w:cs="Calibri"/>
              </w:rPr>
              <w:t xml:space="preserve">3. (  ) </w:t>
            </w:r>
            <w:r>
              <w:rPr/>
              <w:t xml:space="preserve">Condenação da parte Ré, ora Reclamada a pagar </w:t>
            </w:r>
            <w:r>
              <w:rPr>
                <w:rFonts w:cs="Calibri"/>
              </w:rPr>
              <w:t xml:space="preserve">para a parte Autora, ora reclamante, o valor das multas e IPVA pagos e/ou em abertos, no valor total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4. (x) Seja a parte Reclamada condenada na obrigação de fazer, consubstanciada em providenciar a transferência do veículo mencionado para sua titularidade junto ao DETRAN, no prazo determinado por Vossa Excelência, sob pena de multa diária (astreinte);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before="0" w:after="140"/>
              <w:rPr/>
            </w:pPr>
            <w:r>
              <w:rPr>
                <w:b/>
                <w:bCs/>
              </w:rPr>
              <w:t xml:space="preserve">5. </w:t>
            </w:r>
            <w:r>
              <w:rPr>
                <w:rFonts w:cs="Calibri"/>
                <w:b/>
                <w:bCs/>
              </w:rPr>
              <w:t>(x) 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before="0" w:after="140"/>
              <w:rPr/>
            </w:pPr>
            <w:r>
              <w:rPr/>
              <w:t xml:space="preserve">6. (  ) Seja </w:t>
            </w:r>
            <w:r>
              <w:rPr>
                <w:b w:val="false"/>
                <w:bCs w:val="false"/>
              </w:rPr>
              <w:t>a parte Reclamada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condenada aos danos morais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7. (  ) Seja determinada a restrição de circulação do veículo até a afetiva transferência;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8. (  ) Seja determinado ao DETRAN a transferência do veículo para o nome da parte Ré;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9. (  ) Seja determinado ao DETRAN a transferência do veículo para o nome da parte AUTORA;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10. (  ) Seja fixa multa diária (astreinte), contando-se da intimação pessoal.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Lista dos documentos comprobatórios que possuir: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1) Comprovante de venda do veículo para a parte Ré;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2) Documento do veículo;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3) Multas e IPVA do veículo, se houver;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</w:rPr>
              <w:t>4)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8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b/>
          <w:bCs/>
          <w:sz w:val="24"/>
          <w:szCs w:val="24"/>
        </w:rPr>
        <w:t>3</w:t>
      </w:r>
      <w:bookmarkEnd w:id="3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2"/>
          <w:szCs w:val="22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"/>
    <w:uiPriority w:val="9"/>
    <w:semiHidden/>
    <w:unhideWhenUsed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s">
    <w:name w:val="ins"/>
    <w:qFormat/>
    <w:rPr/>
  </w:style>
  <w:style w:type="paragraph" w:styleId="Ttulo" w:customStyle="1">
    <w:name w:val="Título"/>
    <w:basedOn w:val="Normal"/>
    <w:next w:val="Corpodetexto"/>
    <w:qFormat/>
    <w:pPr>
      <w:keepNext/>
      <w:widowControl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zh-CN" w:bidi="hi-IN"/>
    </w:rPr>
  </w:style>
  <w:style w:type="paragraph" w:styleId="Ttulo1">
    <w:name w:val="Título1"/>
    <w:qFormat/>
    <w:pPr>
      <w:keepNext/>
      <w:widowControl w:val="false"/>
      <w:suppressAutoHyphens w:val="true"/>
      <w:overflowPunct w:val="tru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Application>LibreOffice/5.0.6.3$Windows_X86_64 LibreOffice_project/490fc03b25318460cfc54456516ea2519c11d1aa</Application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2021-03-04T18:58:00Z</dcterms:created>
  <dc:creator>Susane</dc:creator>
  <dc:language>pt-BR</dc:language>
  <cp:lastPrinted>2019-08-21T12:07:00Z</cp:lastPrinted>
  <dcterms:modified xsi:type="dcterms:W3CDTF">2025-06-11T21:08:56Z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